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D8A" w:rsidRPr="00FE6AD8" w:rsidRDefault="007068E5" w:rsidP="00B577FB">
      <w:pPr>
        <w:numPr>
          <w:ilvl w:val="0"/>
          <w:numId w:val="1"/>
        </w:numPr>
        <w:tabs>
          <w:tab w:val="clear" w:pos="720"/>
          <w:tab w:val="num" w:pos="426"/>
        </w:tabs>
        <w:spacing w:before="240"/>
        <w:ind w:left="426" w:hanging="426"/>
        <w:jc w:val="both"/>
        <w:rPr>
          <w:rFonts w:ascii="Arial" w:hAnsi="Arial" w:cs="Arial"/>
          <w:bCs/>
          <w:spacing w:val="-3"/>
          <w:sz w:val="22"/>
          <w:szCs w:val="21"/>
        </w:rPr>
      </w:pPr>
      <w:bookmarkStart w:id="0" w:name="_GoBack"/>
      <w:bookmarkEnd w:id="0"/>
      <w:r w:rsidRPr="00FE6AD8">
        <w:rPr>
          <w:rFonts w:ascii="Arial" w:hAnsi="Arial" w:cs="Arial"/>
          <w:bCs/>
          <w:spacing w:val="-3"/>
          <w:sz w:val="22"/>
          <w:szCs w:val="21"/>
        </w:rPr>
        <w:t xml:space="preserve">The </w:t>
      </w:r>
      <w:r w:rsidR="00B465BD" w:rsidRPr="00FE6AD8">
        <w:rPr>
          <w:rFonts w:ascii="Arial" w:hAnsi="Arial" w:cs="Arial"/>
          <w:bCs/>
          <w:spacing w:val="-3"/>
          <w:sz w:val="22"/>
          <w:szCs w:val="21"/>
        </w:rPr>
        <w:t xml:space="preserve">Land </w:t>
      </w:r>
      <w:r w:rsidR="00AF13BA" w:rsidRPr="00FE6AD8">
        <w:rPr>
          <w:rFonts w:ascii="Arial" w:hAnsi="Arial" w:cs="Arial"/>
          <w:bCs/>
          <w:spacing w:val="-3"/>
          <w:sz w:val="22"/>
          <w:szCs w:val="21"/>
        </w:rPr>
        <w:t xml:space="preserve">and </w:t>
      </w:r>
      <w:r w:rsidR="00B465BD" w:rsidRPr="00FE6AD8">
        <w:rPr>
          <w:rFonts w:ascii="Arial" w:hAnsi="Arial" w:cs="Arial"/>
          <w:bCs/>
          <w:spacing w:val="-3"/>
          <w:sz w:val="22"/>
          <w:szCs w:val="21"/>
        </w:rPr>
        <w:t xml:space="preserve">Other Legislation Amendment </w:t>
      </w:r>
      <w:r w:rsidRPr="00FE6AD8">
        <w:rPr>
          <w:rFonts w:ascii="Arial" w:hAnsi="Arial" w:cs="Arial"/>
          <w:bCs/>
          <w:spacing w:val="-3"/>
          <w:sz w:val="22"/>
          <w:szCs w:val="21"/>
        </w:rPr>
        <w:t xml:space="preserve">Bill </w:t>
      </w:r>
      <w:r w:rsidR="00B06FDC" w:rsidRPr="00FE6AD8">
        <w:rPr>
          <w:rFonts w:ascii="Arial" w:hAnsi="Arial" w:cs="Arial"/>
          <w:bCs/>
          <w:spacing w:val="-3"/>
          <w:sz w:val="22"/>
          <w:szCs w:val="21"/>
        </w:rPr>
        <w:t xml:space="preserve">2014 </w:t>
      </w:r>
      <w:r w:rsidRPr="00FE6AD8">
        <w:rPr>
          <w:rFonts w:ascii="Arial" w:hAnsi="Arial" w:cs="Arial"/>
          <w:bCs/>
          <w:spacing w:val="-3"/>
          <w:sz w:val="22"/>
          <w:szCs w:val="21"/>
        </w:rPr>
        <w:t xml:space="preserve">seeks to amend the </w:t>
      </w:r>
      <w:r w:rsidRPr="00FE6AD8">
        <w:rPr>
          <w:rFonts w:ascii="Arial" w:hAnsi="Arial" w:cs="Arial"/>
          <w:bCs/>
          <w:i/>
          <w:spacing w:val="-3"/>
          <w:sz w:val="22"/>
          <w:szCs w:val="21"/>
        </w:rPr>
        <w:t xml:space="preserve">Land Act 1994 </w:t>
      </w:r>
      <w:r w:rsidRPr="00FE6AD8">
        <w:rPr>
          <w:rFonts w:ascii="Arial" w:hAnsi="Arial" w:cs="Arial"/>
          <w:bCs/>
          <w:spacing w:val="-3"/>
          <w:sz w:val="22"/>
          <w:szCs w:val="21"/>
        </w:rPr>
        <w:t xml:space="preserve">to implement the first phase of major reforms </w:t>
      </w:r>
      <w:r w:rsidR="00731D8A" w:rsidRPr="00FE6AD8">
        <w:rPr>
          <w:rFonts w:ascii="Arial" w:hAnsi="Arial" w:cs="Arial"/>
          <w:bCs/>
          <w:spacing w:val="-3"/>
          <w:sz w:val="22"/>
          <w:szCs w:val="21"/>
        </w:rPr>
        <w:t xml:space="preserve">to the state land tenure system arising from the Queensland Government's response to the Parliamentary report on the </w:t>
      </w:r>
      <w:r w:rsidR="00602672" w:rsidRPr="00FE6AD8">
        <w:rPr>
          <w:rFonts w:ascii="Arial" w:hAnsi="Arial" w:cs="Arial"/>
          <w:bCs/>
          <w:i/>
          <w:spacing w:val="-3"/>
          <w:sz w:val="22"/>
          <w:szCs w:val="21"/>
        </w:rPr>
        <w:t>I</w:t>
      </w:r>
      <w:r w:rsidR="00731D8A" w:rsidRPr="00FE6AD8">
        <w:rPr>
          <w:rFonts w:ascii="Arial" w:hAnsi="Arial" w:cs="Arial"/>
          <w:bCs/>
          <w:i/>
          <w:spacing w:val="-3"/>
          <w:sz w:val="22"/>
          <w:szCs w:val="21"/>
        </w:rPr>
        <w:t>nquiry into the future and continued relevance of government land tenure across Queensland</w:t>
      </w:r>
      <w:r w:rsidR="00731D8A" w:rsidRPr="00FE6AD8">
        <w:rPr>
          <w:rFonts w:ascii="Arial" w:hAnsi="Arial" w:cs="Arial"/>
          <w:bCs/>
          <w:spacing w:val="-3"/>
          <w:sz w:val="22"/>
          <w:szCs w:val="21"/>
        </w:rPr>
        <w:t>.</w:t>
      </w:r>
      <w:r w:rsidR="00AC2FB6" w:rsidRPr="00FE6AD8">
        <w:rPr>
          <w:rFonts w:ascii="Arial" w:hAnsi="Arial" w:cs="Arial"/>
          <w:bCs/>
          <w:spacing w:val="-3"/>
          <w:sz w:val="22"/>
          <w:szCs w:val="21"/>
        </w:rPr>
        <w:t xml:space="preserve"> </w:t>
      </w:r>
      <w:r w:rsidR="00731D8A" w:rsidRPr="00FE6AD8">
        <w:rPr>
          <w:rFonts w:ascii="Arial" w:hAnsi="Arial" w:cs="Arial"/>
          <w:bCs/>
          <w:spacing w:val="-3"/>
          <w:sz w:val="22"/>
          <w:szCs w:val="21"/>
        </w:rPr>
        <w:t xml:space="preserve">The Bill </w:t>
      </w:r>
      <w:r w:rsidRPr="00FE6AD8">
        <w:rPr>
          <w:rFonts w:ascii="Arial" w:hAnsi="Arial" w:cs="Arial"/>
          <w:bCs/>
          <w:spacing w:val="-3"/>
          <w:sz w:val="22"/>
          <w:szCs w:val="21"/>
        </w:rPr>
        <w:t>provides for</w:t>
      </w:r>
      <w:r w:rsidR="00731D8A" w:rsidRPr="00FE6AD8">
        <w:rPr>
          <w:rFonts w:ascii="Arial" w:hAnsi="Arial" w:cs="Arial"/>
          <w:bCs/>
          <w:spacing w:val="-3"/>
          <w:sz w:val="22"/>
          <w:szCs w:val="21"/>
        </w:rPr>
        <w:t>:</w:t>
      </w:r>
    </w:p>
    <w:p w:rsidR="00195D93" w:rsidRPr="00FE6AD8" w:rsidRDefault="00B577FB" w:rsidP="00B06FDC">
      <w:pPr>
        <w:numPr>
          <w:ilvl w:val="0"/>
          <w:numId w:val="2"/>
        </w:numPr>
        <w:spacing w:before="60"/>
        <w:ind w:hanging="388"/>
        <w:jc w:val="both"/>
        <w:rPr>
          <w:rFonts w:ascii="Arial" w:hAnsi="Arial" w:cs="Arial"/>
          <w:bCs/>
          <w:spacing w:val="-3"/>
          <w:sz w:val="22"/>
          <w:szCs w:val="21"/>
        </w:rPr>
      </w:pPr>
      <w:r w:rsidRPr="00FE6AD8">
        <w:rPr>
          <w:rFonts w:ascii="Arial" w:hAnsi="Arial" w:cs="Arial"/>
          <w:bCs/>
          <w:spacing w:val="-3"/>
          <w:sz w:val="22"/>
          <w:szCs w:val="21"/>
        </w:rPr>
        <w:t>t</w:t>
      </w:r>
      <w:r w:rsidR="007068E5" w:rsidRPr="00FE6AD8">
        <w:rPr>
          <w:rFonts w:ascii="Arial" w:hAnsi="Arial" w:cs="Arial"/>
          <w:bCs/>
          <w:spacing w:val="-3"/>
          <w:sz w:val="22"/>
          <w:szCs w:val="21"/>
        </w:rPr>
        <w:t xml:space="preserve">he introduction of </w:t>
      </w:r>
      <w:r w:rsidR="00195D93" w:rsidRPr="00FE6AD8">
        <w:rPr>
          <w:rFonts w:ascii="Arial" w:hAnsi="Arial" w:cs="Arial"/>
          <w:sz w:val="22"/>
          <w:szCs w:val="21"/>
        </w:rPr>
        <w:t>rolling</w:t>
      </w:r>
      <w:r w:rsidR="00195D93" w:rsidRPr="00FE6AD8">
        <w:rPr>
          <w:rFonts w:ascii="Arial" w:hAnsi="Arial" w:cs="Arial"/>
          <w:bCs/>
          <w:spacing w:val="-3"/>
          <w:sz w:val="22"/>
          <w:szCs w:val="21"/>
        </w:rPr>
        <w:t xml:space="preserve"> term lease arrangements for </w:t>
      </w:r>
      <w:r w:rsidR="004C3C44" w:rsidRPr="00FE6AD8">
        <w:rPr>
          <w:rFonts w:ascii="Arial" w:hAnsi="Arial" w:cs="Arial"/>
          <w:bCs/>
          <w:spacing w:val="-3"/>
          <w:sz w:val="22"/>
          <w:szCs w:val="21"/>
        </w:rPr>
        <w:t xml:space="preserve">certain rural and tourism </w:t>
      </w:r>
      <w:r w:rsidR="00195D93" w:rsidRPr="00FE6AD8">
        <w:rPr>
          <w:rFonts w:ascii="Arial" w:hAnsi="Arial" w:cs="Arial"/>
          <w:bCs/>
          <w:spacing w:val="-3"/>
          <w:sz w:val="22"/>
          <w:szCs w:val="21"/>
        </w:rPr>
        <w:t>leases</w:t>
      </w:r>
      <w:r w:rsidR="00F266C4" w:rsidRPr="00FE6AD8">
        <w:rPr>
          <w:rFonts w:ascii="Arial" w:hAnsi="Arial" w:cs="Arial"/>
          <w:bCs/>
          <w:spacing w:val="-3"/>
          <w:sz w:val="22"/>
          <w:szCs w:val="21"/>
        </w:rPr>
        <w:t xml:space="preserve"> (including over state forests, reserves and national parks)</w:t>
      </w:r>
      <w:r w:rsidR="00195D93" w:rsidRPr="00FE6AD8">
        <w:rPr>
          <w:rFonts w:ascii="Arial" w:hAnsi="Arial" w:cs="Arial"/>
          <w:bCs/>
          <w:spacing w:val="-3"/>
          <w:sz w:val="22"/>
          <w:szCs w:val="21"/>
        </w:rPr>
        <w:t>, with</w:t>
      </w:r>
      <w:r w:rsidR="00334C59" w:rsidRPr="00FE6AD8">
        <w:rPr>
          <w:rFonts w:ascii="Arial" w:hAnsi="Arial" w:cs="Arial"/>
          <w:bCs/>
          <w:spacing w:val="-3"/>
          <w:sz w:val="22"/>
          <w:szCs w:val="21"/>
        </w:rPr>
        <w:t xml:space="preserve"> </w:t>
      </w:r>
      <w:r w:rsidR="007068E5" w:rsidRPr="00FE6AD8">
        <w:rPr>
          <w:rFonts w:ascii="Arial" w:hAnsi="Arial" w:cs="Arial"/>
          <w:bCs/>
          <w:spacing w:val="-3"/>
          <w:sz w:val="22"/>
          <w:szCs w:val="21"/>
        </w:rPr>
        <w:t xml:space="preserve">highly </w:t>
      </w:r>
      <w:r w:rsidR="00195D93" w:rsidRPr="00FE6AD8">
        <w:rPr>
          <w:rFonts w:ascii="Arial" w:hAnsi="Arial" w:cs="Arial"/>
          <w:bCs/>
          <w:spacing w:val="-3"/>
          <w:sz w:val="22"/>
          <w:szCs w:val="21"/>
        </w:rPr>
        <w:t xml:space="preserve">simplified lease </w:t>
      </w:r>
      <w:r w:rsidR="004574E2" w:rsidRPr="00FE6AD8">
        <w:rPr>
          <w:rFonts w:ascii="Arial" w:hAnsi="Arial" w:cs="Arial"/>
          <w:bCs/>
          <w:spacing w:val="-3"/>
          <w:sz w:val="22"/>
          <w:szCs w:val="21"/>
        </w:rPr>
        <w:t>renewal (extension)</w:t>
      </w:r>
      <w:r w:rsidR="00195D93" w:rsidRPr="00FE6AD8">
        <w:rPr>
          <w:rFonts w:ascii="Arial" w:hAnsi="Arial" w:cs="Arial"/>
          <w:bCs/>
          <w:spacing w:val="-3"/>
          <w:sz w:val="22"/>
          <w:szCs w:val="21"/>
        </w:rPr>
        <w:t xml:space="preserve"> </w:t>
      </w:r>
      <w:r w:rsidR="001A57C4" w:rsidRPr="00FE6AD8">
        <w:rPr>
          <w:rFonts w:ascii="Arial" w:hAnsi="Arial" w:cs="Arial"/>
          <w:bCs/>
          <w:spacing w:val="-3"/>
          <w:sz w:val="22"/>
          <w:szCs w:val="21"/>
        </w:rPr>
        <w:t>requirements</w:t>
      </w:r>
      <w:r w:rsidRPr="00FE6AD8">
        <w:rPr>
          <w:rFonts w:ascii="Arial" w:hAnsi="Arial" w:cs="Arial"/>
          <w:bCs/>
          <w:spacing w:val="-3"/>
          <w:sz w:val="22"/>
          <w:szCs w:val="21"/>
        </w:rPr>
        <w:t>;</w:t>
      </w:r>
      <w:r w:rsidR="00195D93" w:rsidRPr="00FE6AD8">
        <w:rPr>
          <w:rFonts w:ascii="Arial" w:hAnsi="Arial" w:cs="Arial"/>
          <w:bCs/>
          <w:spacing w:val="-3"/>
          <w:sz w:val="22"/>
          <w:szCs w:val="21"/>
        </w:rPr>
        <w:t xml:space="preserve"> </w:t>
      </w:r>
    </w:p>
    <w:p w:rsidR="00195D93" w:rsidRPr="00FE6AD8" w:rsidRDefault="00355B0D" w:rsidP="00B06FDC">
      <w:pPr>
        <w:numPr>
          <w:ilvl w:val="0"/>
          <w:numId w:val="2"/>
        </w:numPr>
        <w:spacing w:before="60"/>
        <w:jc w:val="both"/>
        <w:rPr>
          <w:rFonts w:ascii="Arial" w:hAnsi="Arial" w:cs="Arial"/>
          <w:bCs/>
          <w:spacing w:val="-3"/>
          <w:sz w:val="22"/>
          <w:szCs w:val="21"/>
        </w:rPr>
      </w:pPr>
      <w:r w:rsidRPr="00FE6AD8">
        <w:rPr>
          <w:rFonts w:ascii="Arial" w:hAnsi="Arial" w:cs="Arial"/>
          <w:bCs/>
          <w:spacing w:val="-3"/>
          <w:sz w:val="22"/>
          <w:szCs w:val="21"/>
        </w:rPr>
        <w:t>term leases move directly to freehold without first being converted to a perpetual lease</w:t>
      </w:r>
      <w:r w:rsidR="00B577FB" w:rsidRPr="00FE6AD8">
        <w:rPr>
          <w:rFonts w:ascii="Arial" w:hAnsi="Arial" w:cs="Arial"/>
          <w:bCs/>
          <w:spacing w:val="-3"/>
          <w:sz w:val="22"/>
          <w:szCs w:val="21"/>
        </w:rPr>
        <w:t>;</w:t>
      </w:r>
    </w:p>
    <w:p w:rsidR="00195D93" w:rsidRPr="00FE6AD8" w:rsidRDefault="00B577FB" w:rsidP="00B06FDC">
      <w:pPr>
        <w:numPr>
          <w:ilvl w:val="0"/>
          <w:numId w:val="2"/>
        </w:numPr>
        <w:spacing w:before="60"/>
        <w:ind w:left="811" w:hanging="388"/>
        <w:jc w:val="both"/>
        <w:rPr>
          <w:rFonts w:ascii="Arial" w:hAnsi="Arial" w:cs="Arial"/>
          <w:bCs/>
          <w:spacing w:val="-3"/>
          <w:sz w:val="22"/>
          <w:szCs w:val="21"/>
        </w:rPr>
      </w:pPr>
      <w:r w:rsidRPr="00FE6AD8">
        <w:rPr>
          <w:rFonts w:ascii="Arial" w:hAnsi="Arial" w:cs="Arial"/>
          <w:sz w:val="22"/>
          <w:szCs w:val="21"/>
        </w:rPr>
        <w:t>a</w:t>
      </w:r>
      <w:r w:rsidR="001A57C4" w:rsidRPr="00FE6AD8">
        <w:rPr>
          <w:rFonts w:ascii="Arial" w:hAnsi="Arial" w:cs="Arial"/>
          <w:sz w:val="22"/>
          <w:szCs w:val="21"/>
        </w:rPr>
        <w:t>djoining</w:t>
      </w:r>
      <w:r w:rsidR="00195D93" w:rsidRPr="00FE6AD8">
        <w:rPr>
          <w:rFonts w:ascii="Arial" w:hAnsi="Arial" w:cs="Arial"/>
          <w:bCs/>
          <w:spacing w:val="-3"/>
          <w:sz w:val="22"/>
          <w:szCs w:val="21"/>
        </w:rPr>
        <w:t xml:space="preserve"> term and perpetual leases </w:t>
      </w:r>
      <w:r w:rsidR="004C3C44" w:rsidRPr="00FE6AD8">
        <w:rPr>
          <w:rFonts w:ascii="Arial" w:hAnsi="Arial" w:cs="Arial"/>
          <w:bCs/>
          <w:spacing w:val="-3"/>
          <w:sz w:val="22"/>
          <w:szCs w:val="21"/>
        </w:rPr>
        <w:t>to be amalgamated under certain circumstances</w:t>
      </w:r>
      <w:r w:rsidRPr="00FE6AD8">
        <w:rPr>
          <w:rFonts w:ascii="Arial" w:hAnsi="Arial" w:cs="Arial"/>
          <w:bCs/>
          <w:spacing w:val="-3"/>
          <w:sz w:val="22"/>
          <w:szCs w:val="21"/>
        </w:rPr>
        <w:t>;</w:t>
      </w:r>
    </w:p>
    <w:p w:rsidR="00195D93" w:rsidRPr="00FE6AD8" w:rsidRDefault="00B577FB" w:rsidP="00B06FDC">
      <w:pPr>
        <w:numPr>
          <w:ilvl w:val="0"/>
          <w:numId w:val="2"/>
        </w:numPr>
        <w:spacing w:before="60"/>
        <w:ind w:left="811" w:hanging="388"/>
        <w:jc w:val="both"/>
        <w:rPr>
          <w:rFonts w:ascii="Arial" w:hAnsi="Arial" w:cs="Arial"/>
          <w:bCs/>
          <w:spacing w:val="-3"/>
          <w:sz w:val="22"/>
          <w:szCs w:val="21"/>
        </w:rPr>
      </w:pPr>
      <w:r w:rsidRPr="00FE6AD8">
        <w:rPr>
          <w:rFonts w:ascii="Arial" w:hAnsi="Arial" w:cs="Arial"/>
          <w:bCs/>
          <w:spacing w:val="-3"/>
          <w:sz w:val="22"/>
          <w:szCs w:val="21"/>
        </w:rPr>
        <w:t>e</w:t>
      </w:r>
      <w:r w:rsidR="004C3C44" w:rsidRPr="00FE6AD8">
        <w:rPr>
          <w:rFonts w:ascii="Arial" w:hAnsi="Arial" w:cs="Arial"/>
          <w:bCs/>
          <w:spacing w:val="-3"/>
          <w:sz w:val="22"/>
          <w:szCs w:val="21"/>
        </w:rPr>
        <w:t>nhance</w:t>
      </w:r>
      <w:r w:rsidR="001A57C4" w:rsidRPr="00FE6AD8">
        <w:rPr>
          <w:rFonts w:ascii="Arial" w:hAnsi="Arial" w:cs="Arial"/>
          <w:bCs/>
          <w:spacing w:val="-3"/>
          <w:sz w:val="22"/>
          <w:szCs w:val="21"/>
        </w:rPr>
        <w:t xml:space="preserve">ments to </w:t>
      </w:r>
      <w:r w:rsidR="00165820" w:rsidRPr="00FE6AD8">
        <w:rPr>
          <w:rFonts w:ascii="Arial" w:hAnsi="Arial" w:cs="Arial"/>
          <w:bCs/>
          <w:spacing w:val="-3"/>
          <w:sz w:val="22"/>
          <w:szCs w:val="21"/>
        </w:rPr>
        <w:t xml:space="preserve">provisions for </w:t>
      </w:r>
      <w:r w:rsidR="00E76182" w:rsidRPr="00FE6AD8">
        <w:rPr>
          <w:rFonts w:ascii="Arial" w:hAnsi="Arial" w:cs="Arial"/>
          <w:bCs/>
          <w:spacing w:val="-3"/>
          <w:sz w:val="22"/>
          <w:szCs w:val="21"/>
        </w:rPr>
        <w:t xml:space="preserve">the </w:t>
      </w:r>
      <w:r w:rsidR="00195D93" w:rsidRPr="00FE6AD8">
        <w:rPr>
          <w:rFonts w:ascii="Arial" w:hAnsi="Arial" w:cs="Arial"/>
          <w:bCs/>
          <w:spacing w:val="-3"/>
          <w:sz w:val="22"/>
          <w:szCs w:val="21"/>
        </w:rPr>
        <w:t>protect</w:t>
      </w:r>
      <w:r w:rsidR="00E76182" w:rsidRPr="00FE6AD8">
        <w:rPr>
          <w:rFonts w:ascii="Arial" w:hAnsi="Arial" w:cs="Arial"/>
          <w:bCs/>
          <w:spacing w:val="-3"/>
          <w:sz w:val="22"/>
          <w:szCs w:val="21"/>
        </w:rPr>
        <w:t>ion of</w:t>
      </w:r>
      <w:r w:rsidR="00195D93" w:rsidRPr="00FE6AD8">
        <w:rPr>
          <w:rFonts w:ascii="Arial" w:hAnsi="Arial" w:cs="Arial"/>
          <w:bCs/>
          <w:spacing w:val="-3"/>
          <w:sz w:val="22"/>
          <w:szCs w:val="21"/>
        </w:rPr>
        <w:t xml:space="preserve"> the state’s interests in</w:t>
      </w:r>
      <w:r w:rsidR="00F266C4" w:rsidRPr="00FE6AD8">
        <w:rPr>
          <w:rFonts w:ascii="Arial" w:hAnsi="Arial" w:cs="Arial"/>
          <w:bCs/>
          <w:spacing w:val="-3"/>
          <w:sz w:val="22"/>
          <w:szCs w:val="21"/>
        </w:rPr>
        <w:t xml:space="preserve"> commercial timber</w:t>
      </w:r>
      <w:r w:rsidR="00195D93" w:rsidRPr="00FE6AD8">
        <w:rPr>
          <w:rFonts w:ascii="Arial" w:hAnsi="Arial" w:cs="Arial"/>
          <w:bCs/>
          <w:spacing w:val="-3"/>
          <w:sz w:val="22"/>
          <w:szCs w:val="21"/>
        </w:rPr>
        <w:t xml:space="preserve"> </w:t>
      </w:r>
      <w:r w:rsidR="00F266C4" w:rsidRPr="00FE6AD8">
        <w:rPr>
          <w:rFonts w:ascii="Arial" w:hAnsi="Arial" w:cs="Arial"/>
          <w:bCs/>
          <w:spacing w:val="-3"/>
          <w:sz w:val="22"/>
          <w:szCs w:val="21"/>
        </w:rPr>
        <w:t xml:space="preserve">on </w:t>
      </w:r>
      <w:r w:rsidR="00CF0D1D" w:rsidRPr="00FE6AD8">
        <w:rPr>
          <w:rFonts w:ascii="Arial" w:hAnsi="Arial" w:cs="Arial"/>
          <w:bCs/>
          <w:spacing w:val="-3"/>
          <w:sz w:val="22"/>
          <w:szCs w:val="21"/>
        </w:rPr>
        <w:t xml:space="preserve">leasehold land </w:t>
      </w:r>
      <w:r w:rsidR="00F266C4" w:rsidRPr="00FE6AD8">
        <w:rPr>
          <w:rFonts w:ascii="Arial" w:hAnsi="Arial" w:cs="Arial"/>
          <w:bCs/>
          <w:spacing w:val="-3"/>
          <w:sz w:val="22"/>
          <w:szCs w:val="21"/>
        </w:rPr>
        <w:t xml:space="preserve">being </w:t>
      </w:r>
      <w:r w:rsidR="00CF0D1D" w:rsidRPr="00FE6AD8">
        <w:rPr>
          <w:rFonts w:ascii="Arial" w:hAnsi="Arial" w:cs="Arial"/>
          <w:bCs/>
          <w:spacing w:val="-3"/>
          <w:sz w:val="22"/>
          <w:szCs w:val="21"/>
        </w:rPr>
        <w:t>converted to freehold</w:t>
      </w:r>
      <w:r w:rsidRPr="00FE6AD8">
        <w:rPr>
          <w:rFonts w:ascii="Arial" w:hAnsi="Arial" w:cs="Arial"/>
          <w:bCs/>
          <w:spacing w:val="-3"/>
          <w:sz w:val="22"/>
          <w:szCs w:val="21"/>
        </w:rPr>
        <w:t>;</w:t>
      </w:r>
    </w:p>
    <w:p w:rsidR="00195D93" w:rsidRPr="00FE6AD8" w:rsidRDefault="00B577FB" w:rsidP="00B06FDC">
      <w:pPr>
        <w:numPr>
          <w:ilvl w:val="0"/>
          <w:numId w:val="2"/>
        </w:numPr>
        <w:spacing w:before="60"/>
        <w:ind w:left="811" w:hanging="388"/>
        <w:jc w:val="both"/>
        <w:rPr>
          <w:rFonts w:ascii="Arial" w:hAnsi="Arial" w:cs="Arial"/>
          <w:bCs/>
          <w:spacing w:val="-3"/>
          <w:sz w:val="22"/>
          <w:szCs w:val="21"/>
        </w:rPr>
      </w:pPr>
      <w:r w:rsidRPr="00FE6AD8">
        <w:rPr>
          <w:rFonts w:ascii="Arial" w:hAnsi="Arial" w:cs="Arial"/>
          <w:bCs/>
          <w:spacing w:val="-3"/>
          <w:sz w:val="22"/>
          <w:szCs w:val="21"/>
        </w:rPr>
        <w:t>t</w:t>
      </w:r>
      <w:r w:rsidR="001A57C4" w:rsidRPr="00FE6AD8">
        <w:rPr>
          <w:rFonts w:ascii="Arial" w:hAnsi="Arial" w:cs="Arial"/>
          <w:bCs/>
          <w:spacing w:val="-3"/>
          <w:sz w:val="22"/>
          <w:szCs w:val="21"/>
        </w:rPr>
        <w:t xml:space="preserve">he repeal of </w:t>
      </w:r>
      <w:r w:rsidR="00195D93" w:rsidRPr="00FE6AD8">
        <w:rPr>
          <w:rFonts w:ascii="Arial" w:hAnsi="Arial" w:cs="Arial"/>
          <w:bCs/>
          <w:spacing w:val="-3"/>
          <w:sz w:val="22"/>
          <w:szCs w:val="21"/>
        </w:rPr>
        <w:t>the corporation and aggregation</w:t>
      </w:r>
      <w:r w:rsidR="000B7FBC" w:rsidRPr="00FE6AD8">
        <w:rPr>
          <w:rFonts w:ascii="Arial" w:hAnsi="Arial" w:cs="Arial"/>
          <w:bCs/>
          <w:spacing w:val="-3"/>
          <w:sz w:val="22"/>
          <w:szCs w:val="21"/>
        </w:rPr>
        <w:t xml:space="preserve"> provisions </w:t>
      </w:r>
      <w:r w:rsidR="00195D93" w:rsidRPr="00FE6AD8">
        <w:rPr>
          <w:rFonts w:ascii="Arial" w:hAnsi="Arial" w:cs="Arial"/>
          <w:bCs/>
          <w:spacing w:val="-3"/>
          <w:sz w:val="22"/>
          <w:szCs w:val="21"/>
        </w:rPr>
        <w:t>which</w:t>
      </w:r>
      <w:r w:rsidR="00F36E66" w:rsidRPr="00FE6AD8">
        <w:rPr>
          <w:rFonts w:ascii="Arial" w:hAnsi="Arial" w:cs="Arial"/>
          <w:bCs/>
          <w:spacing w:val="-3"/>
          <w:sz w:val="22"/>
          <w:szCs w:val="21"/>
        </w:rPr>
        <w:t xml:space="preserve"> </w:t>
      </w:r>
      <w:r w:rsidR="000B7FBC" w:rsidRPr="00FE6AD8">
        <w:rPr>
          <w:rFonts w:ascii="Arial" w:hAnsi="Arial" w:cs="Arial"/>
          <w:bCs/>
          <w:spacing w:val="-3"/>
          <w:sz w:val="22"/>
          <w:szCs w:val="21"/>
        </w:rPr>
        <w:t>restrict</w:t>
      </w:r>
      <w:r w:rsidR="00195D93" w:rsidRPr="00FE6AD8">
        <w:rPr>
          <w:rFonts w:ascii="Arial" w:hAnsi="Arial" w:cs="Arial"/>
          <w:bCs/>
          <w:spacing w:val="-3"/>
          <w:sz w:val="22"/>
          <w:szCs w:val="21"/>
        </w:rPr>
        <w:t xml:space="preserve"> eligibility to ho</w:t>
      </w:r>
      <w:r w:rsidRPr="00FE6AD8">
        <w:rPr>
          <w:rFonts w:ascii="Arial" w:hAnsi="Arial" w:cs="Arial"/>
          <w:bCs/>
          <w:spacing w:val="-3"/>
          <w:sz w:val="22"/>
          <w:szCs w:val="21"/>
        </w:rPr>
        <w:t>ld certain rural leasehold land;</w:t>
      </w:r>
    </w:p>
    <w:p w:rsidR="003564E1" w:rsidRPr="00FE6AD8" w:rsidRDefault="00B577FB" w:rsidP="00B06FDC">
      <w:pPr>
        <w:numPr>
          <w:ilvl w:val="0"/>
          <w:numId w:val="2"/>
        </w:numPr>
        <w:spacing w:before="60"/>
        <w:ind w:hanging="388"/>
        <w:jc w:val="both"/>
        <w:rPr>
          <w:rFonts w:ascii="Arial" w:hAnsi="Arial" w:cs="Arial"/>
          <w:bCs/>
          <w:spacing w:val="-3"/>
          <w:sz w:val="22"/>
          <w:szCs w:val="21"/>
        </w:rPr>
      </w:pPr>
      <w:r w:rsidRPr="00FE6AD8">
        <w:rPr>
          <w:rFonts w:ascii="Arial" w:hAnsi="Arial" w:cs="Arial"/>
          <w:bCs/>
          <w:spacing w:val="-3"/>
          <w:sz w:val="22"/>
          <w:szCs w:val="21"/>
        </w:rPr>
        <w:t>t</w:t>
      </w:r>
      <w:r w:rsidR="003564E1" w:rsidRPr="00FE6AD8">
        <w:rPr>
          <w:rFonts w:ascii="Arial" w:hAnsi="Arial" w:cs="Arial"/>
          <w:bCs/>
          <w:spacing w:val="-3"/>
          <w:sz w:val="22"/>
          <w:szCs w:val="21"/>
        </w:rPr>
        <w:t xml:space="preserve">he repeal of the </w:t>
      </w:r>
      <w:r w:rsidR="00A647D7" w:rsidRPr="00FE6AD8">
        <w:rPr>
          <w:rFonts w:ascii="Arial" w:hAnsi="Arial" w:cs="Arial"/>
          <w:bCs/>
          <w:spacing w:val="-3"/>
          <w:sz w:val="22"/>
          <w:szCs w:val="21"/>
        </w:rPr>
        <w:t>two</w:t>
      </w:r>
      <w:r w:rsidR="003564E1" w:rsidRPr="00FE6AD8">
        <w:rPr>
          <w:rFonts w:ascii="Arial" w:hAnsi="Arial" w:cs="Arial"/>
          <w:bCs/>
          <w:spacing w:val="-3"/>
          <w:sz w:val="22"/>
          <w:szCs w:val="21"/>
        </w:rPr>
        <w:t xml:space="preserve"> per cent interest rate appl</w:t>
      </w:r>
      <w:r w:rsidR="00F266C4" w:rsidRPr="00FE6AD8">
        <w:rPr>
          <w:rFonts w:ascii="Arial" w:hAnsi="Arial" w:cs="Arial"/>
          <w:bCs/>
          <w:spacing w:val="-3"/>
          <w:sz w:val="22"/>
          <w:szCs w:val="21"/>
        </w:rPr>
        <w:t>ying</w:t>
      </w:r>
      <w:r w:rsidR="003564E1" w:rsidRPr="00FE6AD8">
        <w:rPr>
          <w:rFonts w:ascii="Arial" w:hAnsi="Arial" w:cs="Arial"/>
          <w:bCs/>
          <w:spacing w:val="-3"/>
          <w:sz w:val="22"/>
          <w:szCs w:val="21"/>
        </w:rPr>
        <w:t xml:space="preserve"> to ren</w:t>
      </w:r>
      <w:r w:rsidRPr="00FE6AD8">
        <w:rPr>
          <w:rFonts w:ascii="Arial" w:hAnsi="Arial" w:cs="Arial"/>
          <w:bCs/>
          <w:spacing w:val="-3"/>
          <w:sz w:val="22"/>
          <w:szCs w:val="21"/>
        </w:rPr>
        <w:t>ts deferred because of hardship;</w:t>
      </w:r>
    </w:p>
    <w:p w:rsidR="00334C59" w:rsidRPr="00FE6AD8" w:rsidRDefault="00B577FB" w:rsidP="00B06FDC">
      <w:pPr>
        <w:numPr>
          <w:ilvl w:val="0"/>
          <w:numId w:val="2"/>
        </w:numPr>
        <w:spacing w:before="60"/>
        <w:ind w:hanging="388"/>
        <w:jc w:val="both"/>
        <w:rPr>
          <w:rFonts w:ascii="Arial" w:hAnsi="Arial" w:cs="Arial"/>
          <w:bCs/>
          <w:spacing w:val="-3"/>
          <w:sz w:val="22"/>
          <w:szCs w:val="21"/>
        </w:rPr>
      </w:pPr>
      <w:r w:rsidRPr="00FE6AD8">
        <w:rPr>
          <w:rFonts w:ascii="Arial" w:hAnsi="Arial" w:cs="Arial"/>
          <w:bCs/>
          <w:spacing w:val="-3"/>
          <w:sz w:val="22"/>
          <w:szCs w:val="21"/>
        </w:rPr>
        <w:t>t</w:t>
      </w:r>
      <w:r w:rsidR="001A57C4" w:rsidRPr="00FE6AD8">
        <w:rPr>
          <w:rFonts w:ascii="Arial" w:hAnsi="Arial" w:cs="Arial"/>
          <w:bCs/>
          <w:spacing w:val="-3"/>
          <w:sz w:val="22"/>
          <w:szCs w:val="21"/>
        </w:rPr>
        <w:t xml:space="preserve">he relocation of </w:t>
      </w:r>
      <w:r w:rsidR="00921042" w:rsidRPr="00FE6AD8">
        <w:rPr>
          <w:rFonts w:ascii="Arial" w:hAnsi="Arial" w:cs="Arial"/>
          <w:bCs/>
          <w:spacing w:val="-3"/>
          <w:sz w:val="22"/>
          <w:szCs w:val="21"/>
        </w:rPr>
        <w:t xml:space="preserve">provisions relating to </w:t>
      </w:r>
      <w:r w:rsidR="003B3F30" w:rsidRPr="00FE6AD8">
        <w:rPr>
          <w:rFonts w:ascii="Arial" w:hAnsi="Arial" w:cs="Arial"/>
          <w:bCs/>
          <w:spacing w:val="-3"/>
          <w:sz w:val="22"/>
          <w:szCs w:val="21"/>
        </w:rPr>
        <w:t>the purchase</w:t>
      </w:r>
      <w:r w:rsidR="00334C59" w:rsidRPr="00FE6AD8">
        <w:rPr>
          <w:rFonts w:ascii="Arial" w:hAnsi="Arial" w:cs="Arial"/>
          <w:bCs/>
          <w:spacing w:val="-3"/>
          <w:sz w:val="22"/>
          <w:szCs w:val="21"/>
        </w:rPr>
        <w:t xml:space="preserve"> price </w:t>
      </w:r>
      <w:r w:rsidR="003B3F30" w:rsidRPr="00FE6AD8">
        <w:rPr>
          <w:rFonts w:ascii="Arial" w:hAnsi="Arial" w:cs="Arial"/>
          <w:bCs/>
          <w:spacing w:val="-3"/>
          <w:sz w:val="22"/>
          <w:szCs w:val="21"/>
        </w:rPr>
        <w:t xml:space="preserve">for freehold </w:t>
      </w:r>
      <w:r w:rsidR="00334C59" w:rsidRPr="00FE6AD8">
        <w:rPr>
          <w:rFonts w:ascii="Arial" w:hAnsi="Arial" w:cs="Arial"/>
          <w:bCs/>
          <w:spacing w:val="-3"/>
          <w:sz w:val="22"/>
          <w:szCs w:val="21"/>
        </w:rPr>
        <w:t>and land rent</w:t>
      </w:r>
      <w:r w:rsidR="003B3F30" w:rsidRPr="00FE6AD8">
        <w:rPr>
          <w:rFonts w:ascii="Arial" w:hAnsi="Arial" w:cs="Arial"/>
          <w:bCs/>
          <w:spacing w:val="-3"/>
          <w:sz w:val="22"/>
          <w:szCs w:val="21"/>
        </w:rPr>
        <w:t>al</w:t>
      </w:r>
      <w:r w:rsidR="00334C59" w:rsidRPr="00FE6AD8">
        <w:rPr>
          <w:rFonts w:ascii="Arial" w:hAnsi="Arial" w:cs="Arial"/>
          <w:bCs/>
          <w:spacing w:val="-3"/>
          <w:sz w:val="22"/>
          <w:szCs w:val="21"/>
        </w:rPr>
        <w:t xml:space="preserve"> </w:t>
      </w:r>
      <w:r w:rsidR="00921042" w:rsidRPr="00FE6AD8">
        <w:rPr>
          <w:rFonts w:ascii="Arial" w:hAnsi="Arial" w:cs="Arial"/>
          <w:bCs/>
          <w:spacing w:val="-3"/>
          <w:sz w:val="22"/>
          <w:szCs w:val="21"/>
        </w:rPr>
        <w:t>arrangements</w:t>
      </w:r>
      <w:r w:rsidR="00334C59" w:rsidRPr="00FE6AD8">
        <w:rPr>
          <w:rFonts w:ascii="Arial" w:hAnsi="Arial" w:cs="Arial"/>
          <w:bCs/>
          <w:spacing w:val="-3"/>
          <w:sz w:val="22"/>
          <w:szCs w:val="21"/>
        </w:rPr>
        <w:t xml:space="preserve"> from the </w:t>
      </w:r>
      <w:r w:rsidR="00334C59" w:rsidRPr="00FE6AD8">
        <w:rPr>
          <w:rFonts w:ascii="Arial" w:hAnsi="Arial" w:cs="Arial"/>
          <w:bCs/>
          <w:i/>
          <w:spacing w:val="-3"/>
          <w:sz w:val="22"/>
          <w:szCs w:val="21"/>
        </w:rPr>
        <w:t>Land Act</w:t>
      </w:r>
      <w:r w:rsidR="00921042" w:rsidRPr="00FE6AD8">
        <w:rPr>
          <w:rFonts w:ascii="Arial" w:hAnsi="Arial" w:cs="Arial"/>
          <w:bCs/>
          <w:i/>
          <w:spacing w:val="-3"/>
          <w:sz w:val="22"/>
          <w:szCs w:val="21"/>
        </w:rPr>
        <w:t xml:space="preserve"> 1994</w:t>
      </w:r>
      <w:r w:rsidR="00334C59" w:rsidRPr="00FE6AD8">
        <w:rPr>
          <w:rFonts w:ascii="Arial" w:hAnsi="Arial" w:cs="Arial"/>
          <w:bCs/>
          <w:spacing w:val="-3"/>
          <w:sz w:val="22"/>
          <w:szCs w:val="21"/>
        </w:rPr>
        <w:t xml:space="preserve"> into </w:t>
      </w:r>
      <w:r w:rsidR="00921042" w:rsidRPr="00FE6AD8">
        <w:rPr>
          <w:rFonts w:ascii="Arial" w:hAnsi="Arial" w:cs="Arial"/>
          <w:bCs/>
          <w:spacing w:val="-3"/>
          <w:sz w:val="22"/>
          <w:szCs w:val="21"/>
        </w:rPr>
        <w:t>the Land Regulation 2009</w:t>
      </w:r>
      <w:r w:rsidRPr="00FE6AD8">
        <w:rPr>
          <w:rFonts w:ascii="Arial" w:hAnsi="Arial" w:cs="Arial"/>
          <w:bCs/>
          <w:spacing w:val="-3"/>
          <w:sz w:val="22"/>
          <w:szCs w:val="21"/>
        </w:rPr>
        <w:t>,</w:t>
      </w:r>
      <w:r w:rsidR="004C3C44" w:rsidRPr="00FE6AD8">
        <w:rPr>
          <w:rFonts w:ascii="Arial" w:hAnsi="Arial" w:cs="Arial"/>
          <w:bCs/>
          <w:spacing w:val="-3"/>
          <w:sz w:val="22"/>
          <w:szCs w:val="21"/>
        </w:rPr>
        <w:t xml:space="preserve"> with</w:t>
      </w:r>
      <w:r w:rsidR="0032224A" w:rsidRPr="00FE6AD8">
        <w:rPr>
          <w:rFonts w:ascii="Arial" w:hAnsi="Arial" w:cs="Arial"/>
          <w:bCs/>
          <w:spacing w:val="-3"/>
          <w:sz w:val="22"/>
          <w:szCs w:val="21"/>
        </w:rPr>
        <w:t xml:space="preserve"> amendments to</w:t>
      </w:r>
      <w:r w:rsidR="003564E1" w:rsidRPr="00FE6AD8">
        <w:rPr>
          <w:rFonts w:ascii="Arial" w:hAnsi="Arial" w:cs="Arial"/>
          <w:bCs/>
          <w:spacing w:val="-3"/>
          <w:sz w:val="22"/>
          <w:szCs w:val="21"/>
        </w:rPr>
        <w:t xml:space="preserve"> hardship relief provisions</w:t>
      </w:r>
      <w:r w:rsidR="00F266C4" w:rsidRPr="00FE6AD8">
        <w:rPr>
          <w:rFonts w:ascii="Arial" w:hAnsi="Arial" w:cs="Arial"/>
          <w:bCs/>
          <w:spacing w:val="-3"/>
          <w:sz w:val="22"/>
          <w:szCs w:val="21"/>
        </w:rPr>
        <w:t xml:space="preserve"> to enhance government’s response to hardship conditions</w:t>
      </w:r>
      <w:r w:rsidRPr="00FE6AD8">
        <w:rPr>
          <w:rFonts w:ascii="Arial" w:hAnsi="Arial" w:cs="Arial"/>
          <w:bCs/>
          <w:spacing w:val="-3"/>
          <w:sz w:val="22"/>
          <w:szCs w:val="21"/>
        </w:rPr>
        <w:t>;</w:t>
      </w:r>
      <w:r w:rsidR="00921042" w:rsidRPr="00FE6AD8">
        <w:rPr>
          <w:rFonts w:ascii="Arial" w:hAnsi="Arial" w:cs="Arial"/>
          <w:bCs/>
          <w:spacing w:val="-3"/>
          <w:sz w:val="22"/>
          <w:szCs w:val="21"/>
        </w:rPr>
        <w:t xml:space="preserve"> </w:t>
      </w:r>
      <w:r w:rsidRPr="00FE6AD8">
        <w:rPr>
          <w:rFonts w:ascii="Arial" w:hAnsi="Arial" w:cs="Arial"/>
          <w:bCs/>
          <w:spacing w:val="-3"/>
          <w:sz w:val="22"/>
          <w:szCs w:val="21"/>
        </w:rPr>
        <w:t>and</w:t>
      </w:r>
    </w:p>
    <w:p w:rsidR="00A609F1" w:rsidRPr="00FE6AD8" w:rsidRDefault="00B577FB" w:rsidP="00B06FDC">
      <w:pPr>
        <w:numPr>
          <w:ilvl w:val="0"/>
          <w:numId w:val="2"/>
        </w:numPr>
        <w:spacing w:before="60"/>
        <w:ind w:left="811" w:hanging="388"/>
        <w:jc w:val="both"/>
        <w:rPr>
          <w:rFonts w:ascii="Arial" w:hAnsi="Arial" w:cs="Arial"/>
          <w:bCs/>
          <w:spacing w:val="-3"/>
          <w:sz w:val="22"/>
          <w:szCs w:val="21"/>
        </w:rPr>
      </w:pPr>
      <w:r w:rsidRPr="00FE6AD8">
        <w:rPr>
          <w:rFonts w:ascii="Arial" w:hAnsi="Arial" w:cs="Arial"/>
          <w:bCs/>
          <w:spacing w:val="-3"/>
          <w:sz w:val="22"/>
          <w:szCs w:val="21"/>
        </w:rPr>
        <w:t>t</w:t>
      </w:r>
      <w:r w:rsidR="001A57C4" w:rsidRPr="00FE6AD8">
        <w:rPr>
          <w:rFonts w:ascii="Arial" w:hAnsi="Arial" w:cs="Arial"/>
          <w:bCs/>
          <w:spacing w:val="-3"/>
          <w:sz w:val="22"/>
          <w:szCs w:val="21"/>
        </w:rPr>
        <w:t>he repeal of the</w:t>
      </w:r>
      <w:r w:rsidR="004C3C44" w:rsidRPr="00FE6AD8">
        <w:rPr>
          <w:rFonts w:ascii="Arial" w:hAnsi="Arial" w:cs="Arial"/>
          <w:bCs/>
          <w:spacing w:val="-3"/>
          <w:sz w:val="22"/>
          <w:szCs w:val="21"/>
        </w:rPr>
        <w:t xml:space="preserve"> provision which allows the forgiveness of deferred rent payment</w:t>
      </w:r>
      <w:r w:rsidR="001A57C4" w:rsidRPr="00FE6AD8">
        <w:rPr>
          <w:rFonts w:ascii="Arial" w:hAnsi="Arial" w:cs="Arial"/>
          <w:bCs/>
          <w:spacing w:val="-3"/>
          <w:sz w:val="22"/>
          <w:szCs w:val="21"/>
        </w:rPr>
        <w:t xml:space="preserve"> in favour of </w:t>
      </w:r>
      <w:r w:rsidR="004C3C44" w:rsidRPr="00FE6AD8">
        <w:rPr>
          <w:rFonts w:ascii="Arial" w:hAnsi="Arial" w:cs="Arial"/>
          <w:bCs/>
          <w:spacing w:val="-3"/>
          <w:sz w:val="22"/>
          <w:szCs w:val="21"/>
        </w:rPr>
        <w:t>rel</w:t>
      </w:r>
      <w:r w:rsidR="001A57C4" w:rsidRPr="00FE6AD8">
        <w:rPr>
          <w:rFonts w:ascii="Arial" w:hAnsi="Arial" w:cs="Arial"/>
          <w:bCs/>
          <w:spacing w:val="-3"/>
          <w:sz w:val="22"/>
          <w:szCs w:val="21"/>
        </w:rPr>
        <w:t xml:space="preserve">iance </w:t>
      </w:r>
      <w:r w:rsidR="004C3C44" w:rsidRPr="00FE6AD8">
        <w:rPr>
          <w:rFonts w:ascii="Arial" w:hAnsi="Arial" w:cs="Arial"/>
          <w:bCs/>
          <w:spacing w:val="-3"/>
          <w:sz w:val="22"/>
          <w:szCs w:val="21"/>
        </w:rPr>
        <w:t xml:space="preserve">on the </w:t>
      </w:r>
      <w:r w:rsidR="004C3C44" w:rsidRPr="00FE6AD8">
        <w:rPr>
          <w:rFonts w:ascii="Arial" w:hAnsi="Arial" w:cs="Arial"/>
          <w:bCs/>
          <w:i/>
          <w:spacing w:val="-3"/>
          <w:sz w:val="22"/>
          <w:szCs w:val="21"/>
        </w:rPr>
        <w:t>Financial Accountability Act 2009</w:t>
      </w:r>
      <w:r w:rsidR="004C3C44" w:rsidRPr="00FE6AD8">
        <w:rPr>
          <w:rFonts w:ascii="Arial" w:hAnsi="Arial" w:cs="Arial"/>
          <w:bCs/>
          <w:spacing w:val="-3"/>
          <w:sz w:val="22"/>
          <w:szCs w:val="21"/>
        </w:rPr>
        <w:t xml:space="preserve"> to write of as a loss deferred rents where such action is warranted</w:t>
      </w:r>
      <w:r w:rsidR="00F775D1" w:rsidRPr="00FE6AD8">
        <w:rPr>
          <w:rFonts w:ascii="Arial" w:hAnsi="Arial" w:cs="Arial"/>
          <w:bCs/>
          <w:spacing w:val="-3"/>
          <w:sz w:val="22"/>
          <w:szCs w:val="21"/>
        </w:rPr>
        <w:t>.</w:t>
      </w:r>
    </w:p>
    <w:p w:rsidR="00A647D7" w:rsidRPr="00FE6AD8" w:rsidRDefault="007068E5" w:rsidP="00B577FB">
      <w:pPr>
        <w:numPr>
          <w:ilvl w:val="0"/>
          <w:numId w:val="1"/>
        </w:numPr>
        <w:tabs>
          <w:tab w:val="clear" w:pos="720"/>
          <w:tab w:val="num" w:pos="426"/>
        </w:tabs>
        <w:spacing w:before="240"/>
        <w:ind w:left="426" w:hanging="426"/>
        <w:jc w:val="both"/>
        <w:rPr>
          <w:rFonts w:ascii="Arial" w:hAnsi="Arial" w:cs="Arial"/>
          <w:bCs/>
          <w:spacing w:val="-3"/>
          <w:sz w:val="22"/>
          <w:szCs w:val="21"/>
        </w:rPr>
      </w:pPr>
      <w:r w:rsidRPr="00FE6AD8">
        <w:rPr>
          <w:rFonts w:ascii="Arial" w:hAnsi="Arial" w:cs="Arial"/>
          <w:bCs/>
          <w:spacing w:val="-3"/>
          <w:sz w:val="22"/>
          <w:szCs w:val="21"/>
        </w:rPr>
        <w:t>The Bill also amends</w:t>
      </w:r>
      <w:r w:rsidR="00A647D7" w:rsidRPr="00FE6AD8">
        <w:rPr>
          <w:rFonts w:ascii="Arial" w:hAnsi="Arial" w:cs="Arial"/>
          <w:bCs/>
          <w:spacing w:val="-3"/>
          <w:sz w:val="22"/>
          <w:szCs w:val="21"/>
        </w:rPr>
        <w:t>:</w:t>
      </w:r>
    </w:p>
    <w:p w:rsidR="00A647D7" w:rsidRPr="00FE6AD8" w:rsidRDefault="00321560" w:rsidP="00B06FDC">
      <w:pPr>
        <w:numPr>
          <w:ilvl w:val="0"/>
          <w:numId w:val="2"/>
        </w:numPr>
        <w:spacing w:before="60"/>
        <w:ind w:left="811" w:hanging="386"/>
        <w:jc w:val="both"/>
        <w:rPr>
          <w:rFonts w:ascii="Arial" w:hAnsi="Arial" w:cs="Arial"/>
          <w:bCs/>
          <w:spacing w:val="-3"/>
          <w:sz w:val="22"/>
          <w:szCs w:val="21"/>
        </w:rPr>
      </w:pPr>
      <w:r w:rsidRPr="00FE6AD8">
        <w:rPr>
          <w:rFonts w:ascii="Arial" w:hAnsi="Arial" w:cs="Arial"/>
          <w:bCs/>
          <w:i/>
          <w:spacing w:val="-3"/>
          <w:sz w:val="22"/>
          <w:szCs w:val="21"/>
        </w:rPr>
        <w:t>Native Title Act (</w:t>
      </w:r>
      <w:r w:rsidR="00FD53D2" w:rsidRPr="00FE6AD8">
        <w:rPr>
          <w:rFonts w:ascii="Arial" w:hAnsi="Arial" w:cs="Arial"/>
          <w:bCs/>
          <w:i/>
          <w:spacing w:val="-3"/>
          <w:sz w:val="22"/>
          <w:szCs w:val="21"/>
        </w:rPr>
        <w:t>Queensland</w:t>
      </w:r>
      <w:r w:rsidRPr="00FE6AD8">
        <w:rPr>
          <w:rFonts w:ascii="Arial" w:hAnsi="Arial" w:cs="Arial"/>
          <w:bCs/>
          <w:i/>
          <w:spacing w:val="-3"/>
          <w:sz w:val="22"/>
          <w:szCs w:val="21"/>
        </w:rPr>
        <w:t>) 1993</w:t>
      </w:r>
      <w:r w:rsidRPr="00FE6AD8">
        <w:rPr>
          <w:rFonts w:ascii="Arial" w:hAnsi="Arial" w:cs="Arial"/>
          <w:bCs/>
          <w:spacing w:val="-3"/>
          <w:sz w:val="22"/>
          <w:szCs w:val="21"/>
        </w:rPr>
        <w:t xml:space="preserve"> </w:t>
      </w:r>
      <w:r w:rsidR="00A647D7" w:rsidRPr="00FE6AD8">
        <w:rPr>
          <w:rFonts w:ascii="Arial" w:hAnsi="Arial" w:cs="Arial"/>
          <w:bCs/>
          <w:spacing w:val="-3"/>
          <w:sz w:val="22"/>
          <w:szCs w:val="21"/>
        </w:rPr>
        <w:t xml:space="preserve">- </w:t>
      </w:r>
      <w:r w:rsidRPr="00FE6AD8">
        <w:rPr>
          <w:rFonts w:ascii="Arial" w:hAnsi="Arial" w:cs="Arial"/>
          <w:bCs/>
          <w:spacing w:val="-3"/>
          <w:sz w:val="22"/>
          <w:szCs w:val="21"/>
        </w:rPr>
        <w:t xml:space="preserve">to </w:t>
      </w:r>
      <w:r w:rsidR="00C736AA" w:rsidRPr="00FE6AD8">
        <w:rPr>
          <w:rFonts w:ascii="Arial" w:hAnsi="Arial" w:cs="Arial"/>
          <w:bCs/>
          <w:spacing w:val="-3"/>
          <w:sz w:val="22"/>
          <w:szCs w:val="21"/>
        </w:rPr>
        <w:t xml:space="preserve">enable the </w:t>
      </w:r>
      <w:r w:rsidR="00FD53D2" w:rsidRPr="00FE6AD8">
        <w:rPr>
          <w:rFonts w:ascii="Arial" w:hAnsi="Arial" w:cs="Arial"/>
          <w:bCs/>
          <w:spacing w:val="-3"/>
          <w:sz w:val="22"/>
          <w:szCs w:val="21"/>
        </w:rPr>
        <w:t>s</w:t>
      </w:r>
      <w:r w:rsidR="00C736AA" w:rsidRPr="00FE6AD8">
        <w:rPr>
          <w:rFonts w:ascii="Arial" w:hAnsi="Arial" w:cs="Arial"/>
          <w:bCs/>
          <w:spacing w:val="-3"/>
          <w:sz w:val="22"/>
          <w:szCs w:val="21"/>
        </w:rPr>
        <w:t xml:space="preserve">tate to acquire non-native title rights or interests in </w:t>
      </w:r>
      <w:r w:rsidR="007068E5" w:rsidRPr="00FE6AD8">
        <w:rPr>
          <w:rFonts w:ascii="Arial" w:hAnsi="Arial" w:cs="Arial"/>
          <w:bCs/>
          <w:spacing w:val="-3"/>
          <w:sz w:val="22"/>
          <w:szCs w:val="21"/>
        </w:rPr>
        <w:t xml:space="preserve">conjunction </w:t>
      </w:r>
      <w:r w:rsidR="00C736AA" w:rsidRPr="00FE6AD8">
        <w:rPr>
          <w:rFonts w:ascii="Arial" w:hAnsi="Arial" w:cs="Arial"/>
          <w:bCs/>
          <w:spacing w:val="-3"/>
          <w:sz w:val="22"/>
          <w:szCs w:val="21"/>
        </w:rPr>
        <w:t xml:space="preserve">with a native title compulsory acquisition under the </w:t>
      </w:r>
      <w:r w:rsidR="00C736AA" w:rsidRPr="00FE6AD8">
        <w:rPr>
          <w:rFonts w:ascii="Arial" w:hAnsi="Arial" w:cs="Arial"/>
          <w:bCs/>
          <w:i/>
          <w:spacing w:val="-3"/>
          <w:sz w:val="22"/>
          <w:szCs w:val="21"/>
        </w:rPr>
        <w:t>Acquisition of Land Act 1994</w:t>
      </w:r>
    </w:p>
    <w:p w:rsidR="00A647D7" w:rsidRPr="00FE6AD8" w:rsidRDefault="003C5122" w:rsidP="00B06FDC">
      <w:pPr>
        <w:numPr>
          <w:ilvl w:val="0"/>
          <w:numId w:val="2"/>
        </w:numPr>
        <w:spacing w:before="60"/>
        <w:ind w:left="811" w:hanging="386"/>
        <w:jc w:val="both"/>
        <w:rPr>
          <w:rFonts w:ascii="Arial" w:hAnsi="Arial" w:cs="Arial"/>
          <w:bCs/>
          <w:spacing w:val="-3"/>
          <w:sz w:val="22"/>
          <w:szCs w:val="21"/>
        </w:rPr>
      </w:pPr>
      <w:r w:rsidRPr="00FE6AD8">
        <w:rPr>
          <w:rFonts w:ascii="Arial" w:hAnsi="Arial" w:cs="Arial"/>
          <w:bCs/>
          <w:i/>
          <w:spacing w:val="-3"/>
          <w:sz w:val="22"/>
          <w:szCs w:val="21"/>
        </w:rPr>
        <w:t>Acquisition of Land Act 1967</w:t>
      </w:r>
      <w:r w:rsidRPr="00FE6AD8">
        <w:rPr>
          <w:rFonts w:ascii="Arial" w:hAnsi="Arial" w:cs="Arial"/>
          <w:bCs/>
          <w:spacing w:val="-3"/>
          <w:sz w:val="22"/>
          <w:szCs w:val="21"/>
        </w:rPr>
        <w:t xml:space="preserve"> </w:t>
      </w:r>
      <w:r w:rsidR="00A647D7" w:rsidRPr="00FE6AD8">
        <w:rPr>
          <w:rFonts w:ascii="Arial" w:hAnsi="Arial" w:cs="Arial"/>
          <w:bCs/>
          <w:spacing w:val="-3"/>
          <w:sz w:val="22"/>
          <w:szCs w:val="21"/>
        </w:rPr>
        <w:t xml:space="preserve">- </w:t>
      </w:r>
      <w:r w:rsidRPr="00FE6AD8">
        <w:rPr>
          <w:rFonts w:ascii="Arial" w:hAnsi="Arial" w:cs="Arial"/>
          <w:bCs/>
          <w:spacing w:val="-3"/>
          <w:sz w:val="22"/>
          <w:szCs w:val="21"/>
        </w:rPr>
        <w:t xml:space="preserve">to remove doubt about the powers to </w:t>
      </w:r>
      <w:r w:rsidR="00E76AD1" w:rsidRPr="00FE6AD8">
        <w:rPr>
          <w:rFonts w:ascii="Arial" w:hAnsi="Arial" w:cs="Arial"/>
          <w:bCs/>
          <w:spacing w:val="-3"/>
          <w:sz w:val="22"/>
          <w:szCs w:val="21"/>
        </w:rPr>
        <w:t>acquire</w:t>
      </w:r>
      <w:r w:rsidRPr="00FE6AD8">
        <w:rPr>
          <w:rFonts w:ascii="Arial" w:hAnsi="Arial" w:cs="Arial"/>
          <w:bCs/>
          <w:spacing w:val="-3"/>
          <w:sz w:val="22"/>
          <w:szCs w:val="21"/>
        </w:rPr>
        <w:t xml:space="preserve"> land</w:t>
      </w:r>
      <w:r w:rsidR="00D923B0" w:rsidRPr="00FE6AD8">
        <w:rPr>
          <w:rFonts w:ascii="Arial" w:hAnsi="Arial" w:cs="Arial"/>
          <w:bCs/>
          <w:spacing w:val="-3"/>
          <w:sz w:val="22"/>
          <w:szCs w:val="21"/>
        </w:rPr>
        <w:t xml:space="preserve"> for environmental </w:t>
      </w:r>
      <w:r w:rsidR="00197DA0" w:rsidRPr="00FE6AD8">
        <w:rPr>
          <w:rFonts w:ascii="Arial" w:hAnsi="Arial" w:cs="Arial"/>
          <w:bCs/>
          <w:spacing w:val="-3"/>
          <w:sz w:val="22"/>
          <w:szCs w:val="21"/>
        </w:rPr>
        <w:t xml:space="preserve">and public </w:t>
      </w:r>
      <w:r w:rsidR="00D923B0" w:rsidRPr="00FE6AD8">
        <w:rPr>
          <w:rFonts w:ascii="Arial" w:hAnsi="Arial" w:cs="Arial"/>
          <w:bCs/>
          <w:spacing w:val="-3"/>
          <w:sz w:val="22"/>
          <w:szCs w:val="21"/>
        </w:rPr>
        <w:t>purposes</w:t>
      </w:r>
    </w:p>
    <w:p w:rsidR="00B71C71" w:rsidRPr="00FE6AD8" w:rsidRDefault="00C72EF9" w:rsidP="00B06FDC">
      <w:pPr>
        <w:numPr>
          <w:ilvl w:val="0"/>
          <w:numId w:val="2"/>
        </w:numPr>
        <w:spacing w:before="60"/>
        <w:ind w:left="811" w:hanging="386"/>
        <w:jc w:val="both"/>
        <w:rPr>
          <w:rFonts w:ascii="Arial" w:hAnsi="Arial" w:cs="Arial"/>
          <w:bCs/>
          <w:spacing w:val="-3"/>
          <w:sz w:val="22"/>
          <w:szCs w:val="21"/>
        </w:rPr>
      </w:pPr>
      <w:r w:rsidRPr="00FE6AD8">
        <w:rPr>
          <w:rFonts w:ascii="Arial" w:hAnsi="Arial" w:cs="Arial"/>
          <w:i/>
          <w:sz w:val="22"/>
          <w:szCs w:val="21"/>
        </w:rPr>
        <w:t>Land Title Act 1994</w:t>
      </w:r>
      <w:r w:rsidRPr="00FE6AD8">
        <w:rPr>
          <w:rFonts w:ascii="Arial" w:hAnsi="Arial" w:cs="Arial"/>
          <w:sz w:val="22"/>
          <w:szCs w:val="21"/>
        </w:rPr>
        <w:t xml:space="preserve"> </w:t>
      </w:r>
      <w:r w:rsidR="00A647D7" w:rsidRPr="00FE6AD8">
        <w:rPr>
          <w:rFonts w:ascii="Arial" w:hAnsi="Arial" w:cs="Arial"/>
          <w:sz w:val="22"/>
          <w:szCs w:val="21"/>
        </w:rPr>
        <w:t xml:space="preserve">- </w:t>
      </w:r>
      <w:r w:rsidRPr="00FE6AD8">
        <w:rPr>
          <w:rFonts w:ascii="Arial" w:hAnsi="Arial" w:cs="Arial"/>
          <w:sz w:val="22"/>
          <w:szCs w:val="21"/>
        </w:rPr>
        <w:t xml:space="preserve">to </w:t>
      </w:r>
      <w:r w:rsidR="00455F0A" w:rsidRPr="00FE6AD8">
        <w:rPr>
          <w:rFonts w:ascii="Arial" w:hAnsi="Arial" w:cs="Arial"/>
          <w:sz w:val="22"/>
          <w:szCs w:val="21"/>
        </w:rPr>
        <w:t xml:space="preserve">broaden provisions allowing </w:t>
      </w:r>
      <w:r w:rsidRPr="00FE6AD8">
        <w:rPr>
          <w:rFonts w:ascii="Arial" w:hAnsi="Arial" w:cs="Arial"/>
          <w:sz w:val="22"/>
          <w:szCs w:val="21"/>
        </w:rPr>
        <w:t>a more streamlined method of creating easements for particular high density developments</w:t>
      </w:r>
    </w:p>
    <w:p w:rsidR="00B71C71" w:rsidRPr="00FE6AD8" w:rsidRDefault="00B71C71" w:rsidP="00B06FDC">
      <w:pPr>
        <w:numPr>
          <w:ilvl w:val="0"/>
          <w:numId w:val="2"/>
        </w:numPr>
        <w:spacing w:before="60"/>
        <w:ind w:left="811" w:hanging="386"/>
        <w:jc w:val="both"/>
        <w:rPr>
          <w:rFonts w:ascii="Arial" w:hAnsi="Arial" w:cs="Arial"/>
          <w:bCs/>
          <w:spacing w:val="-3"/>
          <w:sz w:val="22"/>
          <w:szCs w:val="21"/>
        </w:rPr>
      </w:pPr>
      <w:r w:rsidRPr="00FE6AD8">
        <w:rPr>
          <w:rFonts w:ascii="Arial" w:hAnsi="Arial" w:cs="Arial"/>
          <w:bCs/>
          <w:i/>
          <w:spacing w:val="-3"/>
          <w:sz w:val="22"/>
          <w:szCs w:val="21"/>
        </w:rPr>
        <w:t>S</w:t>
      </w:r>
      <w:r w:rsidR="002D0AAA" w:rsidRPr="00FE6AD8">
        <w:rPr>
          <w:rFonts w:ascii="Arial" w:hAnsi="Arial" w:cs="Arial"/>
          <w:bCs/>
          <w:i/>
          <w:spacing w:val="-3"/>
          <w:sz w:val="22"/>
          <w:szCs w:val="21"/>
        </w:rPr>
        <w:t>ustainable Planning Regulation 2009</w:t>
      </w:r>
      <w:r w:rsidR="002D0AAA" w:rsidRPr="00FE6AD8">
        <w:rPr>
          <w:rFonts w:ascii="Arial" w:hAnsi="Arial" w:cs="Arial"/>
          <w:bCs/>
          <w:spacing w:val="-3"/>
          <w:sz w:val="22"/>
          <w:szCs w:val="21"/>
        </w:rPr>
        <w:t xml:space="preserve">, </w:t>
      </w:r>
      <w:r w:rsidR="002D0AAA" w:rsidRPr="00FE6AD8">
        <w:rPr>
          <w:rFonts w:ascii="Arial" w:hAnsi="Arial" w:cs="Arial"/>
          <w:bCs/>
          <w:i/>
          <w:spacing w:val="-3"/>
          <w:sz w:val="22"/>
          <w:szCs w:val="21"/>
        </w:rPr>
        <w:t>Water Regulation 2002</w:t>
      </w:r>
      <w:r w:rsidR="002D0AAA" w:rsidRPr="00FE6AD8">
        <w:rPr>
          <w:rFonts w:ascii="Arial" w:hAnsi="Arial" w:cs="Arial"/>
          <w:bCs/>
          <w:spacing w:val="-3"/>
          <w:sz w:val="22"/>
          <w:szCs w:val="21"/>
        </w:rPr>
        <w:t xml:space="preserve"> and water resource plans that regulate subartesian water </w:t>
      </w:r>
      <w:r w:rsidRPr="00FE6AD8">
        <w:rPr>
          <w:rFonts w:ascii="Arial" w:hAnsi="Arial" w:cs="Arial"/>
          <w:bCs/>
          <w:spacing w:val="-3"/>
          <w:sz w:val="22"/>
          <w:szCs w:val="21"/>
        </w:rPr>
        <w:t xml:space="preserve">- </w:t>
      </w:r>
      <w:r w:rsidR="002D0AAA" w:rsidRPr="00FE6AD8">
        <w:rPr>
          <w:rFonts w:ascii="Arial" w:hAnsi="Arial" w:cs="Arial"/>
          <w:bCs/>
          <w:spacing w:val="-3"/>
          <w:sz w:val="22"/>
          <w:szCs w:val="21"/>
        </w:rPr>
        <w:t>to exempt certain works from having to obtain two authorisations to undertake one activity</w:t>
      </w:r>
    </w:p>
    <w:p w:rsidR="00B71C71" w:rsidRPr="00FE6AD8" w:rsidRDefault="00195D93" w:rsidP="00B06FDC">
      <w:pPr>
        <w:numPr>
          <w:ilvl w:val="0"/>
          <w:numId w:val="2"/>
        </w:numPr>
        <w:spacing w:before="60"/>
        <w:ind w:left="811" w:hanging="386"/>
        <w:jc w:val="both"/>
        <w:rPr>
          <w:rFonts w:ascii="Arial" w:hAnsi="Arial" w:cs="Arial"/>
          <w:bCs/>
          <w:spacing w:val="-3"/>
          <w:sz w:val="22"/>
          <w:szCs w:val="21"/>
        </w:rPr>
      </w:pPr>
      <w:r w:rsidRPr="00FE6AD8">
        <w:rPr>
          <w:rFonts w:ascii="Arial" w:hAnsi="Arial" w:cs="Arial"/>
          <w:bCs/>
          <w:i/>
          <w:spacing w:val="-3"/>
          <w:sz w:val="22"/>
          <w:szCs w:val="21"/>
        </w:rPr>
        <w:t>Water Act 2000</w:t>
      </w:r>
      <w:r w:rsidRPr="00FE6AD8">
        <w:rPr>
          <w:rFonts w:ascii="Arial" w:hAnsi="Arial" w:cs="Arial"/>
          <w:bCs/>
          <w:spacing w:val="-3"/>
          <w:sz w:val="22"/>
          <w:szCs w:val="21"/>
        </w:rPr>
        <w:t xml:space="preserve"> </w:t>
      </w:r>
      <w:r w:rsidR="00B71C71" w:rsidRPr="00FE6AD8">
        <w:rPr>
          <w:rFonts w:ascii="Arial" w:hAnsi="Arial" w:cs="Arial"/>
          <w:bCs/>
          <w:spacing w:val="-3"/>
          <w:sz w:val="22"/>
          <w:szCs w:val="21"/>
        </w:rPr>
        <w:t>- t</w:t>
      </w:r>
      <w:r w:rsidRPr="00FE6AD8">
        <w:rPr>
          <w:rFonts w:ascii="Arial" w:hAnsi="Arial" w:cs="Arial"/>
          <w:bCs/>
          <w:spacing w:val="-3"/>
          <w:sz w:val="22"/>
          <w:szCs w:val="21"/>
        </w:rPr>
        <w:t>o address unintended inequities in provisions dealing with the taking of water arising from</w:t>
      </w:r>
      <w:r w:rsidR="007068E5" w:rsidRPr="00FE6AD8">
        <w:rPr>
          <w:rFonts w:ascii="Arial" w:hAnsi="Arial" w:cs="Arial"/>
          <w:bCs/>
          <w:spacing w:val="-3"/>
          <w:sz w:val="22"/>
          <w:szCs w:val="21"/>
        </w:rPr>
        <w:t xml:space="preserve"> reforms under legislation enacted in 2013</w:t>
      </w:r>
      <w:r w:rsidR="00B465BD" w:rsidRPr="00FE6AD8">
        <w:rPr>
          <w:rFonts w:ascii="Arial" w:hAnsi="Arial" w:cs="Arial"/>
          <w:bCs/>
          <w:spacing w:val="-3"/>
          <w:sz w:val="22"/>
          <w:szCs w:val="21"/>
        </w:rPr>
        <w:t>,</w:t>
      </w:r>
      <w:r w:rsidR="007068E5" w:rsidRPr="00FE6AD8">
        <w:rPr>
          <w:rFonts w:ascii="Arial" w:hAnsi="Arial" w:cs="Arial"/>
          <w:bCs/>
          <w:spacing w:val="-3"/>
          <w:sz w:val="22"/>
          <w:szCs w:val="21"/>
        </w:rPr>
        <w:t xml:space="preserve"> and to </w:t>
      </w:r>
      <w:r w:rsidR="00E76182" w:rsidRPr="00FE6AD8">
        <w:rPr>
          <w:rFonts w:ascii="Arial" w:hAnsi="Arial" w:cs="Arial"/>
          <w:bCs/>
          <w:spacing w:val="-3"/>
          <w:sz w:val="22"/>
          <w:szCs w:val="21"/>
        </w:rPr>
        <w:t xml:space="preserve">remove </w:t>
      </w:r>
      <w:r w:rsidR="00A61893" w:rsidRPr="00FE6AD8">
        <w:rPr>
          <w:rFonts w:ascii="Arial" w:hAnsi="Arial" w:cs="Arial"/>
          <w:bCs/>
          <w:spacing w:val="-3"/>
          <w:sz w:val="22"/>
          <w:szCs w:val="21"/>
        </w:rPr>
        <w:t xml:space="preserve">any uncertainty and confirm the validity of </w:t>
      </w:r>
      <w:r w:rsidR="00165820" w:rsidRPr="00FE6AD8">
        <w:rPr>
          <w:rFonts w:ascii="Arial" w:hAnsi="Arial" w:cs="Arial"/>
          <w:bCs/>
          <w:spacing w:val="-3"/>
          <w:sz w:val="22"/>
          <w:szCs w:val="21"/>
        </w:rPr>
        <w:t xml:space="preserve">particular </w:t>
      </w:r>
      <w:r w:rsidR="00A61893" w:rsidRPr="00FE6AD8">
        <w:rPr>
          <w:rFonts w:ascii="Arial" w:hAnsi="Arial" w:cs="Arial"/>
          <w:bCs/>
          <w:spacing w:val="-3"/>
          <w:sz w:val="22"/>
          <w:szCs w:val="21"/>
        </w:rPr>
        <w:t>water licences in Queensland</w:t>
      </w:r>
    </w:p>
    <w:p w:rsidR="00C22089" w:rsidRPr="00FE6AD8" w:rsidRDefault="00B55ACF" w:rsidP="00B06FDC">
      <w:pPr>
        <w:numPr>
          <w:ilvl w:val="0"/>
          <w:numId w:val="2"/>
        </w:numPr>
        <w:spacing w:before="60"/>
        <w:ind w:left="811" w:hanging="386"/>
        <w:jc w:val="both"/>
        <w:rPr>
          <w:rFonts w:ascii="Arial" w:hAnsi="Arial" w:cs="Arial"/>
          <w:bCs/>
          <w:spacing w:val="-3"/>
          <w:sz w:val="22"/>
          <w:szCs w:val="21"/>
        </w:rPr>
      </w:pPr>
      <w:r w:rsidRPr="00FE6AD8">
        <w:rPr>
          <w:rFonts w:ascii="Arial" w:hAnsi="Arial" w:cs="Arial"/>
          <w:bCs/>
          <w:i/>
          <w:spacing w:val="-3"/>
          <w:sz w:val="22"/>
          <w:szCs w:val="21"/>
        </w:rPr>
        <w:t>Petroleum and Gas (Production and Safety) Act 2004</w:t>
      </w:r>
      <w:r w:rsidR="008E7379" w:rsidRPr="00FE6AD8">
        <w:rPr>
          <w:rFonts w:ascii="Arial" w:hAnsi="Arial" w:cs="Arial"/>
          <w:bCs/>
          <w:i/>
          <w:spacing w:val="-3"/>
          <w:sz w:val="22"/>
          <w:szCs w:val="21"/>
        </w:rPr>
        <w:t xml:space="preserve"> </w:t>
      </w:r>
      <w:r w:rsidR="008E7379" w:rsidRPr="00FE6AD8">
        <w:rPr>
          <w:rFonts w:ascii="Arial" w:hAnsi="Arial" w:cs="Arial"/>
          <w:bCs/>
          <w:spacing w:val="-3"/>
          <w:sz w:val="22"/>
          <w:szCs w:val="21"/>
        </w:rPr>
        <w:t xml:space="preserve">and the </w:t>
      </w:r>
      <w:r w:rsidRPr="00FE6AD8">
        <w:rPr>
          <w:rFonts w:ascii="Arial" w:hAnsi="Arial" w:cs="Arial"/>
          <w:bCs/>
          <w:i/>
          <w:spacing w:val="-3"/>
          <w:sz w:val="22"/>
          <w:szCs w:val="21"/>
        </w:rPr>
        <w:t xml:space="preserve">Mineral Resources Act 1989 </w:t>
      </w:r>
      <w:r w:rsidR="00B71C71" w:rsidRPr="00FE6AD8">
        <w:rPr>
          <w:rFonts w:ascii="Arial" w:hAnsi="Arial" w:cs="Arial"/>
          <w:bCs/>
          <w:spacing w:val="-3"/>
          <w:sz w:val="22"/>
          <w:szCs w:val="21"/>
        </w:rPr>
        <w:t xml:space="preserve">- </w:t>
      </w:r>
      <w:r w:rsidRPr="00FE6AD8">
        <w:rPr>
          <w:rFonts w:ascii="Arial" w:hAnsi="Arial" w:cs="Arial"/>
          <w:bCs/>
          <w:spacing w:val="-3"/>
          <w:sz w:val="22"/>
          <w:szCs w:val="21"/>
        </w:rPr>
        <w:t>to provide certainty and flexibility to resource companies, in particular petroleum companies.</w:t>
      </w:r>
      <w:r w:rsidR="00602672" w:rsidRPr="00FE6AD8">
        <w:rPr>
          <w:rFonts w:ascii="Arial" w:hAnsi="Arial" w:cs="Arial"/>
          <w:bCs/>
          <w:spacing w:val="-3"/>
          <w:sz w:val="22"/>
          <w:szCs w:val="21"/>
        </w:rPr>
        <w:t xml:space="preserve"> </w:t>
      </w:r>
    </w:p>
    <w:p w:rsidR="00950178" w:rsidRPr="00FE6AD8" w:rsidRDefault="00950178" w:rsidP="00B577FB">
      <w:pPr>
        <w:numPr>
          <w:ilvl w:val="0"/>
          <w:numId w:val="1"/>
        </w:numPr>
        <w:tabs>
          <w:tab w:val="clear" w:pos="720"/>
          <w:tab w:val="num" w:pos="426"/>
        </w:tabs>
        <w:spacing w:before="240"/>
        <w:ind w:left="426" w:hanging="426"/>
        <w:jc w:val="both"/>
        <w:rPr>
          <w:rFonts w:ascii="Arial" w:hAnsi="Arial" w:cs="Arial"/>
          <w:bCs/>
          <w:spacing w:val="-3"/>
          <w:sz w:val="22"/>
          <w:szCs w:val="21"/>
        </w:rPr>
      </w:pPr>
      <w:r w:rsidRPr="00FE6AD8">
        <w:rPr>
          <w:rFonts w:ascii="Arial" w:hAnsi="Arial" w:cs="Arial"/>
          <w:sz w:val="22"/>
          <w:szCs w:val="21"/>
          <w:u w:val="single"/>
        </w:rPr>
        <w:t>Cabinet approved</w:t>
      </w:r>
      <w:r w:rsidR="00294325" w:rsidRPr="00FE6AD8">
        <w:rPr>
          <w:rFonts w:ascii="Arial" w:hAnsi="Arial" w:cs="Arial"/>
          <w:sz w:val="22"/>
          <w:szCs w:val="21"/>
        </w:rPr>
        <w:t xml:space="preserve"> that the Land and Other Legislation Amendment Bill 2014 be introduced into the Legislative Assembly as soon as possible.</w:t>
      </w:r>
    </w:p>
    <w:p w:rsidR="00950178" w:rsidRPr="00FE6AD8" w:rsidRDefault="00950178" w:rsidP="00B577FB">
      <w:p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1"/>
        </w:rPr>
      </w:pPr>
    </w:p>
    <w:p w:rsidR="00950178" w:rsidRPr="00FE6AD8" w:rsidRDefault="00950178" w:rsidP="00B577FB">
      <w:pPr>
        <w:keepNext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1"/>
        </w:rPr>
      </w:pPr>
      <w:r w:rsidRPr="00FE6AD8">
        <w:rPr>
          <w:rFonts w:ascii="Arial" w:hAnsi="Arial" w:cs="Arial"/>
          <w:i/>
          <w:sz w:val="22"/>
          <w:szCs w:val="21"/>
          <w:u w:val="single"/>
        </w:rPr>
        <w:t>Attachments</w:t>
      </w:r>
    </w:p>
    <w:p w:rsidR="00950178" w:rsidRPr="00FE6AD8" w:rsidRDefault="001D7EC6" w:rsidP="00B577FB">
      <w:pPr>
        <w:numPr>
          <w:ilvl w:val="0"/>
          <w:numId w:val="2"/>
        </w:numPr>
        <w:spacing w:before="120"/>
        <w:ind w:left="811" w:hanging="385"/>
        <w:jc w:val="both"/>
        <w:rPr>
          <w:rFonts w:ascii="Arial" w:hAnsi="Arial" w:cs="Arial"/>
          <w:sz w:val="22"/>
          <w:szCs w:val="21"/>
        </w:rPr>
      </w:pPr>
      <w:hyperlink r:id="rId7" w:history="1">
        <w:r w:rsidR="00F448FD" w:rsidRPr="00FE6AD8">
          <w:rPr>
            <w:rStyle w:val="Hyperlink"/>
            <w:rFonts w:ascii="Arial" w:hAnsi="Arial" w:cs="Arial"/>
            <w:sz w:val="22"/>
            <w:szCs w:val="21"/>
          </w:rPr>
          <w:t>Land and Other Legislation Amendment Bill 2014</w:t>
        </w:r>
      </w:hyperlink>
    </w:p>
    <w:p w:rsidR="00950178" w:rsidRPr="00FE6AD8" w:rsidRDefault="001D7EC6" w:rsidP="00B577FB">
      <w:pPr>
        <w:numPr>
          <w:ilvl w:val="0"/>
          <w:numId w:val="2"/>
        </w:numPr>
        <w:spacing w:before="120"/>
        <w:ind w:left="811" w:hanging="385"/>
        <w:jc w:val="both"/>
        <w:rPr>
          <w:sz w:val="22"/>
          <w:szCs w:val="21"/>
        </w:rPr>
      </w:pPr>
      <w:hyperlink r:id="rId8" w:history="1">
        <w:r w:rsidR="00F448FD" w:rsidRPr="00FE6AD8">
          <w:rPr>
            <w:rStyle w:val="Hyperlink"/>
            <w:rFonts w:ascii="Arial" w:hAnsi="Arial" w:cs="Arial"/>
            <w:sz w:val="22"/>
            <w:szCs w:val="21"/>
          </w:rPr>
          <w:t>Explanatory Notes</w:t>
        </w:r>
      </w:hyperlink>
    </w:p>
    <w:sectPr w:rsidR="00950178" w:rsidRPr="00FE6AD8" w:rsidSect="00B06FDC">
      <w:head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204" w:rsidRDefault="00EF0204" w:rsidP="00D6589B">
      <w:r>
        <w:separator/>
      </w:r>
    </w:p>
  </w:endnote>
  <w:endnote w:type="continuationSeparator" w:id="0">
    <w:p w:rsidR="00EF0204" w:rsidRDefault="00EF0204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204" w:rsidRDefault="00EF0204" w:rsidP="00D6589B">
      <w:r>
        <w:separator/>
      </w:r>
    </w:p>
  </w:footnote>
  <w:footnote w:type="continuationSeparator" w:id="0">
    <w:p w:rsidR="00EF0204" w:rsidRDefault="00EF0204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8CC" w:rsidRPr="00D75134" w:rsidRDefault="007238CC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smartTag w:uri="urn:schemas-microsoft-com:office:smarttags" w:element="State">
      <w:smartTag w:uri="urn:schemas-microsoft-com:office:smarttags" w:element="place">
        <w:r w:rsidRPr="00D75134">
          <w:rPr>
            <w:rFonts w:ascii="Arial" w:hAnsi="Arial" w:cs="Arial"/>
            <w:b/>
            <w:sz w:val="28"/>
            <w:szCs w:val="22"/>
          </w:rPr>
          <w:t>Queensland</w:t>
        </w:r>
      </w:smartTag>
    </w:smartTag>
    <w:r w:rsidRPr="00D75134">
      <w:rPr>
        <w:rFonts w:ascii="Arial" w:hAnsi="Arial" w:cs="Arial"/>
        <w:b/>
        <w:sz w:val="28"/>
        <w:szCs w:val="22"/>
      </w:rPr>
      <w:t xml:space="preserve"> Government</w:t>
    </w:r>
  </w:p>
  <w:p w:rsidR="007238CC" w:rsidRPr="00D75134" w:rsidRDefault="007238CC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7238CC" w:rsidRPr="001E209B" w:rsidRDefault="007238CC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 w:rsidR="00F91449">
      <w:rPr>
        <w:rFonts w:ascii="Arial" w:hAnsi="Arial" w:cs="Arial"/>
        <w:b/>
        <w:sz w:val="22"/>
        <w:szCs w:val="22"/>
      </w:rPr>
      <w:t>February</w:t>
    </w:r>
    <w:r w:rsidRPr="001E209B">
      <w:rPr>
        <w:rFonts w:ascii="Arial" w:hAnsi="Arial" w:cs="Arial"/>
        <w:b/>
        <w:sz w:val="22"/>
        <w:szCs w:val="22"/>
      </w:rPr>
      <w:t xml:space="preserve"> 201</w:t>
    </w:r>
    <w:r>
      <w:rPr>
        <w:rFonts w:ascii="Arial" w:hAnsi="Arial" w:cs="Arial"/>
        <w:b/>
        <w:sz w:val="22"/>
        <w:szCs w:val="22"/>
      </w:rPr>
      <w:t>4</w:t>
    </w:r>
  </w:p>
  <w:p w:rsidR="007238CC" w:rsidRPr="00046BE8" w:rsidRDefault="007238CC" w:rsidP="002E48FB">
    <w:pPr>
      <w:pStyle w:val="Header"/>
      <w:tabs>
        <w:tab w:val="left" w:pos="1260"/>
      </w:tabs>
      <w:spacing w:before="120"/>
      <w:rPr>
        <w:rFonts w:ascii="Arial" w:hAnsi="Arial" w:cs="Arial"/>
        <w:b/>
        <w:sz w:val="22"/>
        <w:szCs w:val="22"/>
        <w:u w:val="single"/>
      </w:rPr>
    </w:pPr>
    <w:r w:rsidRPr="00046BE8">
      <w:rPr>
        <w:rFonts w:ascii="Arial" w:hAnsi="Arial" w:cs="Arial"/>
        <w:b/>
        <w:sz w:val="22"/>
        <w:szCs w:val="22"/>
        <w:u w:val="single"/>
      </w:rPr>
      <w:t>Land and Other Legislation Amendment Bill 2014</w:t>
    </w:r>
  </w:p>
  <w:p w:rsidR="007238CC" w:rsidRDefault="007238CC" w:rsidP="002E48FB">
    <w:pPr>
      <w:pStyle w:val="Header"/>
      <w:tabs>
        <w:tab w:val="left" w:pos="1260"/>
      </w:tabs>
      <w:spacing w:before="120"/>
      <w:rPr>
        <w:rFonts w:ascii="Arial" w:hAnsi="Arial" w:cs="Arial"/>
        <w:b/>
        <w:sz w:val="22"/>
        <w:szCs w:val="22"/>
        <w:u w:val="single"/>
      </w:rPr>
    </w:pPr>
    <w:r w:rsidRPr="00046BE8">
      <w:rPr>
        <w:rFonts w:ascii="Arial" w:hAnsi="Arial" w:cs="Arial"/>
        <w:b/>
        <w:sz w:val="22"/>
        <w:szCs w:val="22"/>
        <w:u w:val="single"/>
      </w:rPr>
      <w:t>Minister for Natural Resources and Mines</w:t>
    </w:r>
  </w:p>
  <w:p w:rsidR="007238CC" w:rsidRDefault="007238CC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91022"/>
    <w:multiLevelType w:val="hybridMultilevel"/>
    <w:tmpl w:val="307EC6A8"/>
    <w:lvl w:ilvl="0" w:tplc="5C3839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78B1F9B"/>
    <w:multiLevelType w:val="hybridMultilevel"/>
    <w:tmpl w:val="74A09890"/>
    <w:lvl w:ilvl="0" w:tplc="3D62457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Franklin Gothic Demi Cond" w:hAnsi="Franklin Gothic Demi Cond" w:cs="Franklin Gothic Demi Cond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19"/>
    <w:rsid w:val="000144D8"/>
    <w:rsid w:val="0002132A"/>
    <w:rsid w:val="000401A0"/>
    <w:rsid w:val="000430DD"/>
    <w:rsid w:val="00046BE8"/>
    <w:rsid w:val="00080F8F"/>
    <w:rsid w:val="000A1EB3"/>
    <w:rsid w:val="000A4E0D"/>
    <w:rsid w:val="000B3903"/>
    <w:rsid w:val="000B7FBC"/>
    <w:rsid w:val="000F75B3"/>
    <w:rsid w:val="001207DC"/>
    <w:rsid w:val="00121D2D"/>
    <w:rsid w:val="00140936"/>
    <w:rsid w:val="00146A35"/>
    <w:rsid w:val="00150F7E"/>
    <w:rsid w:val="00165820"/>
    <w:rsid w:val="0018155E"/>
    <w:rsid w:val="00194B2D"/>
    <w:rsid w:val="00195D93"/>
    <w:rsid w:val="00197DA0"/>
    <w:rsid w:val="001A00AC"/>
    <w:rsid w:val="001A57C4"/>
    <w:rsid w:val="001D7EC6"/>
    <w:rsid w:val="001E209B"/>
    <w:rsid w:val="001E2F71"/>
    <w:rsid w:val="0021344B"/>
    <w:rsid w:val="002316FF"/>
    <w:rsid w:val="002611B0"/>
    <w:rsid w:val="002758CD"/>
    <w:rsid w:val="002840D4"/>
    <w:rsid w:val="00294325"/>
    <w:rsid w:val="002D0AAA"/>
    <w:rsid w:val="002D51F4"/>
    <w:rsid w:val="002D66A0"/>
    <w:rsid w:val="002E48FB"/>
    <w:rsid w:val="003040E1"/>
    <w:rsid w:val="0031589B"/>
    <w:rsid w:val="00321560"/>
    <w:rsid w:val="00322033"/>
    <w:rsid w:val="0032224A"/>
    <w:rsid w:val="00331B2C"/>
    <w:rsid w:val="00334C59"/>
    <w:rsid w:val="00342F88"/>
    <w:rsid w:val="003440D4"/>
    <w:rsid w:val="00355B0D"/>
    <w:rsid w:val="003564E1"/>
    <w:rsid w:val="003A05C9"/>
    <w:rsid w:val="003A52B1"/>
    <w:rsid w:val="003B3F30"/>
    <w:rsid w:val="003B5871"/>
    <w:rsid w:val="003C5122"/>
    <w:rsid w:val="003F393F"/>
    <w:rsid w:val="00403961"/>
    <w:rsid w:val="004334BC"/>
    <w:rsid w:val="00436775"/>
    <w:rsid w:val="00441CF3"/>
    <w:rsid w:val="00443A9C"/>
    <w:rsid w:val="00450161"/>
    <w:rsid w:val="00455F0A"/>
    <w:rsid w:val="004574E2"/>
    <w:rsid w:val="004813C0"/>
    <w:rsid w:val="0048573F"/>
    <w:rsid w:val="004C04B4"/>
    <w:rsid w:val="004C3C44"/>
    <w:rsid w:val="004D3430"/>
    <w:rsid w:val="004E3AE1"/>
    <w:rsid w:val="004E7ADA"/>
    <w:rsid w:val="00501C66"/>
    <w:rsid w:val="00521602"/>
    <w:rsid w:val="00541486"/>
    <w:rsid w:val="005B03A7"/>
    <w:rsid w:val="005D3B54"/>
    <w:rsid w:val="005F2E20"/>
    <w:rsid w:val="00602672"/>
    <w:rsid w:val="006060E8"/>
    <w:rsid w:val="0063378D"/>
    <w:rsid w:val="00657161"/>
    <w:rsid w:val="0066145B"/>
    <w:rsid w:val="006628DB"/>
    <w:rsid w:val="006730FE"/>
    <w:rsid w:val="00675A3D"/>
    <w:rsid w:val="006824CC"/>
    <w:rsid w:val="00694A60"/>
    <w:rsid w:val="006A4144"/>
    <w:rsid w:val="006D51DD"/>
    <w:rsid w:val="00700039"/>
    <w:rsid w:val="007044D7"/>
    <w:rsid w:val="007068E5"/>
    <w:rsid w:val="007238CC"/>
    <w:rsid w:val="00731D8A"/>
    <w:rsid w:val="00732E22"/>
    <w:rsid w:val="00740EF5"/>
    <w:rsid w:val="0075654C"/>
    <w:rsid w:val="00765D03"/>
    <w:rsid w:val="00795F64"/>
    <w:rsid w:val="007A29D4"/>
    <w:rsid w:val="007A2AC6"/>
    <w:rsid w:val="00896DD7"/>
    <w:rsid w:val="008A4523"/>
    <w:rsid w:val="008B25B1"/>
    <w:rsid w:val="008E7379"/>
    <w:rsid w:val="008F44CD"/>
    <w:rsid w:val="00921042"/>
    <w:rsid w:val="0093309A"/>
    <w:rsid w:val="00950178"/>
    <w:rsid w:val="009764B9"/>
    <w:rsid w:val="0099098F"/>
    <w:rsid w:val="009D0BB5"/>
    <w:rsid w:val="009D6104"/>
    <w:rsid w:val="00A0663D"/>
    <w:rsid w:val="00A37D0D"/>
    <w:rsid w:val="00A46B13"/>
    <w:rsid w:val="00A527A5"/>
    <w:rsid w:val="00A609F1"/>
    <w:rsid w:val="00A61893"/>
    <w:rsid w:val="00A647D7"/>
    <w:rsid w:val="00A95819"/>
    <w:rsid w:val="00AA0A59"/>
    <w:rsid w:val="00AC2FB6"/>
    <w:rsid w:val="00AD20B2"/>
    <w:rsid w:val="00AD3BDA"/>
    <w:rsid w:val="00AF13BA"/>
    <w:rsid w:val="00AF68F6"/>
    <w:rsid w:val="00B06FDC"/>
    <w:rsid w:val="00B453AD"/>
    <w:rsid w:val="00B465BD"/>
    <w:rsid w:val="00B55ACF"/>
    <w:rsid w:val="00B577FB"/>
    <w:rsid w:val="00B71C71"/>
    <w:rsid w:val="00B80354"/>
    <w:rsid w:val="00C07656"/>
    <w:rsid w:val="00C22089"/>
    <w:rsid w:val="00C2680A"/>
    <w:rsid w:val="00C66222"/>
    <w:rsid w:val="00C72EF9"/>
    <w:rsid w:val="00C736AA"/>
    <w:rsid w:val="00CE6FBA"/>
    <w:rsid w:val="00CF0D1D"/>
    <w:rsid w:val="00CF0D8A"/>
    <w:rsid w:val="00D1024B"/>
    <w:rsid w:val="00D37425"/>
    <w:rsid w:val="00D5766D"/>
    <w:rsid w:val="00D6522C"/>
    <w:rsid w:val="00D6589B"/>
    <w:rsid w:val="00D75134"/>
    <w:rsid w:val="00D923B0"/>
    <w:rsid w:val="00DB6FE7"/>
    <w:rsid w:val="00DE61EC"/>
    <w:rsid w:val="00DF0029"/>
    <w:rsid w:val="00E47752"/>
    <w:rsid w:val="00E76182"/>
    <w:rsid w:val="00E76AD1"/>
    <w:rsid w:val="00EC064A"/>
    <w:rsid w:val="00EC0773"/>
    <w:rsid w:val="00EC4390"/>
    <w:rsid w:val="00EC4944"/>
    <w:rsid w:val="00EF0204"/>
    <w:rsid w:val="00F10DF9"/>
    <w:rsid w:val="00F17E91"/>
    <w:rsid w:val="00F2103F"/>
    <w:rsid w:val="00F266C4"/>
    <w:rsid w:val="00F33FDA"/>
    <w:rsid w:val="00F36E66"/>
    <w:rsid w:val="00F378DE"/>
    <w:rsid w:val="00F448FD"/>
    <w:rsid w:val="00F775D1"/>
    <w:rsid w:val="00F91449"/>
    <w:rsid w:val="00FA33C4"/>
    <w:rsid w:val="00FA4293"/>
    <w:rsid w:val="00FC558F"/>
    <w:rsid w:val="00FC637E"/>
    <w:rsid w:val="00FD53D2"/>
    <w:rsid w:val="00FE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F0029"/>
    <w:rPr>
      <w:sz w:val="16"/>
      <w:szCs w:val="16"/>
    </w:rPr>
  </w:style>
  <w:style w:type="paragraph" w:styleId="CommentText">
    <w:name w:val="annotation text"/>
    <w:basedOn w:val="Normal"/>
    <w:semiHidden/>
    <w:rsid w:val="00DF0029"/>
    <w:rPr>
      <w:sz w:val="20"/>
    </w:rPr>
  </w:style>
  <w:style w:type="paragraph" w:styleId="CommentSubject">
    <w:name w:val="annotation subject"/>
    <w:basedOn w:val="CommentText"/>
    <w:next w:val="CommentText"/>
    <w:semiHidden/>
    <w:rsid w:val="00DF0029"/>
    <w:rPr>
      <w:b/>
      <w:bCs/>
    </w:rPr>
  </w:style>
  <w:style w:type="character" w:styleId="Hyperlink">
    <w:name w:val="Hyperlink"/>
    <w:rsid w:val="00E47752"/>
    <w:rPr>
      <w:color w:val="0000FF"/>
      <w:u w:val="single"/>
    </w:rPr>
  </w:style>
  <w:style w:type="character" w:styleId="FollowedHyperlink">
    <w:name w:val="FollowedHyperlink"/>
    <w:rsid w:val="00E4775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Notes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Bil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M\Land%20Tenure%20Policy\Pathway%20to%20Freehold%20project%20-%20Phase%201\ATI_10%20February%202014_1st%20tranche\Templates%20and%20guides\Proactive%20Release%20-%20submission%20decision%20summ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 - submission decision summary.dot</Template>
  <TotalTime>0</TotalTime>
  <Pages>1</Pages>
  <Words>447</Words>
  <Characters>2556</Characters>
  <Application>Microsoft Office Word</Application>
  <DocSecurity>0</DocSecurity>
  <Lines>43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2980</CharactersWithSpaces>
  <SharedDoc>false</SharedDoc>
  <HyperlinkBase>https://www.cabinet.qld.gov.au/documents/2014/Feb/LOLA Bill/</HyperlinkBase>
  <HLinks>
    <vt:vector size="12" baseType="variant"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2014-04-30T06:26:00Z</cp:lastPrinted>
  <dcterms:created xsi:type="dcterms:W3CDTF">2017-10-25T01:14:00Z</dcterms:created>
  <dcterms:modified xsi:type="dcterms:W3CDTF">2018-03-06T01:23:00Z</dcterms:modified>
  <cp:category>Legislation,Land,Aboriginal_and_Torres_Strait_Islander,Indigenous,Water,Mining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